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4A3119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4A3119" w:rsidRDefault="007F300D">
            <w:pPr>
              <w:spacing w:after="0" w:line="240" w:lineRule="auto"/>
            </w:pPr>
            <w:r>
              <w:rPr>
                <w:b/>
              </w:rPr>
              <w:t xml:space="preserve">RKP </w:t>
            </w:r>
            <w:proofErr w:type="spellStart"/>
            <w:r>
              <w:rPr>
                <w:b/>
              </w:rPr>
              <w:t>broj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:rsidR="004A3119" w:rsidRDefault="007F300D">
            <w:pPr>
              <w:spacing w:after="0" w:line="240" w:lineRule="auto"/>
            </w:pPr>
            <w:r>
              <w:t>8035</w:t>
            </w:r>
          </w:p>
        </w:tc>
      </w:tr>
      <w:tr w:rsidR="004A3119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4A3119" w:rsidRDefault="007F300D">
            <w:pPr>
              <w:spacing w:after="0" w:line="240" w:lineRule="auto"/>
            </w:pPr>
            <w:proofErr w:type="spellStart"/>
            <w:r>
              <w:rPr>
                <w:b/>
              </w:rPr>
              <w:t>Naziv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obveznika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:rsidR="004A3119" w:rsidRDefault="007F300D">
            <w:pPr>
              <w:spacing w:after="0" w:line="240" w:lineRule="auto"/>
            </w:pPr>
            <w:r>
              <w:t>DOM ZA STARIJE OSOBE SVETI JOSIP ZAGREB</w:t>
            </w:r>
          </w:p>
        </w:tc>
      </w:tr>
      <w:tr w:rsidR="004A3119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4A3119" w:rsidRDefault="007F300D">
            <w:pPr>
              <w:spacing w:after="0" w:line="240" w:lineRule="auto"/>
            </w:pPr>
            <w:proofErr w:type="spellStart"/>
            <w:r>
              <w:rPr>
                <w:b/>
              </w:rPr>
              <w:t>Razina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:rsidR="004A3119" w:rsidRDefault="007F300D">
            <w:pPr>
              <w:spacing w:after="0" w:line="240" w:lineRule="auto"/>
            </w:pPr>
            <w:r>
              <w:t>31</w:t>
            </w:r>
          </w:p>
        </w:tc>
      </w:tr>
    </w:tbl>
    <w:p w:rsidR="004A3119" w:rsidRDefault="007F300D" w:rsidP="002A79FC">
      <w:pPr>
        <w:ind w:left="1440"/>
      </w:pPr>
      <w:r>
        <w:br/>
      </w:r>
      <w:r>
        <w:rPr>
          <w:b/>
          <w:sz w:val="28"/>
        </w:rPr>
        <w:t>BILJEŠKE UZ FINANCIJSKE IZVJEŠTAJE</w:t>
      </w:r>
    </w:p>
    <w:p w:rsidR="004A3119" w:rsidRDefault="002A79FC" w:rsidP="002A79FC">
      <w:pPr>
        <w:spacing w:line="240" w:lineRule="auto"/>
      </w:pPr>
      <w:r>
        <w:rPr>
          <w:b/>
          <w:sz w:val="28"/>
        </w:rPr>
        <w:t xml:space="preserve">                                   </w:t>
      </w:r>
      <w:r w:rsidR="007F300D">
        <w:rPr>
          <w:b/>
          <w:sz w:val="28"/>
        </w:rPr>
        <w:t xml:space="preserve">ZA </w:t>
      </w:r>
      <w:proofErr w:type="gramStart"/>
      <w:r w:rsidR="007F300D">
        <w:rPr>
          <w:b/>
          <w:sz w:val="28"/>
        </w:rPr>
        <w:t>RAZDOBLJE</w:t>
      </w:r>
      <w:r>
        <w:rPr>
          <w:b/>
          <w:sz w:val="28"/>
        </w:rPr>
        <w:t xml:space="preserve">  </w:t>
      </w:r>
      <w:r w:rsidR="007F300D">
        <w:rPr>
          <w:b/>
          <w:sz w:val="28"/>
        </w:rPr>
        <w:t>I</w:t>
      </w:r>
      <w:proofErr w:type="gramEnd"/>
      <w:r w:rsidR="007F300D">
        <w:rPr>
          <w:b/>
          <w:sz w:val="28"/>
        </w:rPr>
        <w:t xml:space="preserve"> - XII 2025.</w:t>
      </w:r>
    </w:p>
    <w:p w:rsidR="004A3119" w:rsidRDefault="004A3119"/>
    <w:p w:rsidR="004A3119" w:rsidRDefault="007F300D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prihodima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rashodima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primicima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izdacima</w:t>
      </w:r>
      <w:proofErr w:type="spellEnd"/>
    </w:p>
    <w:p w:rsidR="004A3119" w:rsidRDefault="007F300D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A3119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plana</w:t>
            </w:r>
            <w:proofErr w:type="spellEnd"/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4A311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4.753.629,87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4.846.444,04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102,0</w:t>
            </w:r>
          </w:p>
        </w:tc>
      </w:tr>
      <w:tr w:rsidR="004A311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4.768.387,11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5.108.219,11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107,1</w:t>
            </w:r>
          </w:p>
        </w:tc>
      </w:tr>
      <w:tr w:rsidR="004A311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3119" w:rsidRDefault="004A311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14.757,24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261.775,07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1773,9</w:t>
            </w:r>
          </w:p>
        </w:tc>
      </w:tr>
      <w:tr w:rsidR="004A311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prodaje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A311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nabavu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106.169,34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54.858,05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51,7</w:t>
            </w:r>
          </w:p>
        </w:tc>
      </w:tr>
      <w:tr w:rsidR="004A311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3119" w:rsidRDefault="004A311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106.169,34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54.858,05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51,7</w:t>
            </w:r>
          </w:p>
        </w:tc>
      </w:tr>
      <w:tr w:rsidR="004A311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Primici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zaduživanja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A311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Izdaci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financijsku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otplate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zajmova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A311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3119" w:rsidRDefault="004A311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4A311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3119" w:rsidRDefault="004A311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120.926,58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316.633,12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261,8</w:t>
            </w:r>
          </w:p>
        </w:tc>
      </w:tr>
    </w:tbl>
    <w:p w:rsidR="004A3119" w:rsidRDefault="007F300D" w:rsidP="00AB09E2">
      <w:pPr>
        <w:jc w:val="both"/>
      </w:pPr>
      <w:proofErr w:type="spellStart"/>
      <w:r>
        <w:t>Manjak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primitka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316.633,12 </w:t>
      </w:r>
      <w:proofErr w:type="spellStart"/>
      <w:r>
        <w:t>eur.</w:t>
      </w:r>
      <w:proofErr w:type="spellEnd"/>
      <w:r>
        <w:t xml:space="preserve">, 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rezultira</w:t>
      </w:r>
      <w:proofErr w:type="spellEnd"/>
      <w:r>
        <w:t xml:space="preserve"> </w:t>
      </w:r>
      <w:proofErr w:type="spellStart"/>
      <w:proofErr w:type="gramStart"/>
      <w:r>
        <w:t>povećanim</w:t>
      </w:r>
      <w:proofErr w:type="spellEnd"/>
      <w:r>
        <w:t xml:space="preserve">  </w:t>
      </w:r>
      <w:proofErr w:type="spellStart"/>
      <w:r>
        <w:t>rashodima</w:t>
      </w:r>
      <w:proofErr w:type="spellEnd"/>
      <w:proofErr w:type="gramEnd"/>
      <w:r>
        <w:t xml:space="preserve"> 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poziciji</w:t>
      </w:r>
      <w:proofErr w:type="spellEnd"/>
      <w:r>
        <w:t xml:space="preserve"> </w:t>
      </w:r>
      <w:proofErr w:type="spellStart"/>
      <w:r>
        <w:t>investicijskog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nužnih</w:t>
      </w:r>
      <w:proofErr w:type="spellEnd"/>
      <w:r>
        <w:t xml:space="preserve"> </w:t>
      </w:r>
      <w:proofErr w:type="spellStart"/>
      <w:r>
        <w:t>radova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održavanju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obnovi</w:t>
      </w:r>
      <w:proofErr w:type="spellEnd"/>
      <w:r>
        <w:t xml:space="preserve"> </w:t>
      </w:r>
      <w:proofErr w:type="spellStart"/>
      <w:r>
        <w:t>Doma</w:t>
      </w:r>
      <w:proofErr w:type="spellEnd"/>
      <w:r>
        <w:t xml:space="preserve">. </w:t>
      </w:r>
      <w:proofErr w:type="spellStart"/>
      <w:r>
        <w:t>Oprema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dijelovi</w:t>
      </w:r>
      <w:proofErr w:type="spellEnd"/>
      <w:r>
        <w:t xml:space="preserve"> </w:t>
      </w:r>
      <w:proofErr w:type="spellStart"/>
      <w:r>
        <w:t>objekta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dotrajali</w:t>
      </w:r>
      <w:proofErr w:type="spellEnd"/>
      <w:r>
        <w:t xml:space="preserve">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uzrokuje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češće</w:t>
      </w:r>
      <w:proofErr w:type="spellEnd"/>
      <w:r>
        <w:t xml:space="preserve"> </w:t>
      </w:r>
      <w:proofErr w:type="spellStart"/>
      <w:r>
        <w:t>popravke</w:t>
      </w:r>
      <w:proofErr w:type="spellEnd"/>
      <w:r>
        <w:t xml:space="preserve">, a </w:t>
      </w:r>
      <w:proofErr w:type="spellStart"/>
      <w:r>
        <w:t>cijene</w:t>
      </w:r>
      <w:proofErr w:type="spellEnd"/>
      <w:r>
        <w:t xml:space="preserve"> </w:t>
      </w:r>
      <w:proofErr w:type="spellStart"/>
      <w:r>
        <w:t>materijala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troškovi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značajno</w:t>
      </w:r>
      <w:proofErr w:type="spellEnd"/>
      <w:r>
        <w:t xml:space="preserve"> </w:t>
      </w:r>
      <w:proofErr w:type="spellStart"/>
      <w:r>
        <w:t>porasli</w:t>
      </w:r>
      <w:proofErr w:type="spellEnd"/>
      <w:r>
        <w:t xml:space="preserve"> </w:t>
      </w:r>
      <w:proofErr w:type="spellStart"/>
      <w:r>
        <w:t>uslijed</w:t>
      </w:r>
      <w:proofErr w:type="spellEnd"/>
      <w:r>
        <w:t xml:space="preserve"> </w:t>
      </w:r>
      <w:proofErr w:type="spellStart"/>
      <w:r>
        <w:t>inflacije</w:t>
      </w:r>
      <w:proofErr w:type="spellEnd"/>
      <w:r>
        <w:t xml:space="preserve">. </w:t>
      </w:r>
      <w:proofErr w:type="spellStart"/>
      <w:r>
        <w:t>Povećali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se </w:t>
      </w:r>
      <w:proofErr w:type="spellStart"/>
      <w:r>
        <w:t>rashodi</w:t>
      </w:r>
      <w:proofErr w:type="spellEnd"/>
      <w:r>
        <w:t xml:space="preserve"> a </w:t>
      </w:r>
      <w:proofErr w:type="spellStart"/>
      <w:r>
        <w:t>ime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>   </w:t>
      </w:r>
      <w:proofErr w:type="spellStart"/>
      <w:proofErr w:type="gramStart"/>
      <w:r>
        <w:t>zaposlenika</w:t>
      </w:r>
      <w:proofErr w:type="spellEnd"/>
      <w:r>
        <w:t xml:space="preserve">,  </w:t>
      </w:r>
      <w:proofErr w:type="spellStart"/>
      <w:r>
        <w:t>povećanje</w:t>
      </w:r>
      <w:proofErr w:type="spellEnd"/>
      <w:proofErr w:type="gram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zaposlenika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osnovica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obračun</w:t>
      </w:r>
      <w:proofErr w:type="spellEnd"/>
      <w:r>
        <w:t xml:space="preserve"> </w:t>
      </w:r>
      <w:proofErr w:type="spellStart"/>
      <w:r>
        <w:t>plaća</w:t>
      </w:r>
      <w:proofErr w:type="spellEnd"/>
      <w:r>
        <w:t xml:space="preserve">, </w:t>
      </w:r>
      <w:proofErr w:type="spellStart"/>
      <w:r>
        <w:t>Vlada</w:t>
      </w:r>
      <w:proofErr w:type="spellEnd"/>
      <w:r>
        <w:t xml:space="preserve"> </w:t>
      </w:r>
      <w:proofErr w:type="spellStart"/>
      <w:r>
        <w:t>donijela</w:t>
      </w:r>
      <w:proofErr w:type="spellEnd"/>
      <w:r>
        <w:t xml:space="preserve"> </w:t>
      </w:r>
      <w:proofErr w:type="spellStart"/>
      <w:r>
        <w:t>Odluku</w:t>
      </w:r>
      <w:proofErr w:type="spellEnd"/>
      <w:r>
        <w:t xml:space="preserve"> o </w:t>
      </w:r>
      <w:proofErr w:type="spellStart"/>
      <w:r>
        <w:t>visini</w:t>
      </w:r>
      <w:proofErr w:type="spellEnd"/>
      <w:r>
        <w:t xml:space="preserve"> </w:t>
      </w:r>
      <w:proofErr w:type="spellStart"/>
      <w:r>
        <w:t>osnovice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obračun</w:t>
      </w:r>
      <w:proofErr w:type="spellEnd"/>
      <w:r>
        <w:t xml:space="preserve"> </w:t>
      </w:r>
      <w:proofErr w:type="spellStart"/>
      <w:r>
        <w:t>plaće</w:t>
      </w:r>
      <w:proofErr w:type="spellEnd"/>
      <w:r>
        <w:t xml:space="preserve"> u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službama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2025. 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osnovice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3 % od 1. </w:t>
      </w:r>
      <w:proofErr w:type="spellStart"/>
      <w:r>
        <w:t>veljače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isplata</w:t>
      </w:r>
      <w:proofErr w:type="spellEnd"/>
      <w:r>
        <w:t xml:space="preserve"> u </w:t>
      </w:r>
      <w:proofErr w:type="spellStart"/>
      <w:r>
        <w:t>ožujku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3 % od 1. </w:t>
      </w:r>
      <w:proofErr w:type="spellStart"/>
      <w:r>
        <w:t>rujna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isplata</w:t>
      </w:r>
      <w:proofErr w:type="spellEnd"/>
      <w:r>
        <w:t xml:space="preserve"> u </w:t>
      </w:r>
      <w:proofErr w:type="spellStart"/>
      <w:r>
        <w:t>listopadu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>.  </w:t>
      </w:r>
      <w:bookmarkStart w:id="0" w:name="_GoBack"/>
      <w:bookmarkEnd w:id="0"/>
    </w:p>
    <w:p w:rsidR="004A3119" w:rsidRDefault="007F300D" w:rsidP="002A79FC">
      <w:pPr>
        <w:ind w:left="2880" w:firstLine="720"/>
      </w:pPr>
      <w:r>
        <w:lastRenderedPageBreak/>
        <w:t> </w:t>
      </w: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A3119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plana</w:t>
            </w:r>
            <w:proofErr w:type="spellEnd"/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4A311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Ostali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zaposlene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270.970,31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353.484,27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130,5</w:t>
            </w:r>
          </w:p>
        </w:tc>
      </w:tr>
    </w:tbl>
    <w:p w:rsidR="004A3119" w:rsidRDefault="004A3119">
      <w:pPr>
        <w:spacing w:after="0"/>
      </w:pPr>
    </w:p>
    <w:p w:rsidR="004A3119" w:rsidRDefault="007F300D" w:rsidP="002A79FC">
      <w:pPr>
        <w:spacing w:after="0"/>
      </w:pPr>
      <w:r>
        <w:t> </w:t>
      </w:r>
      <w:proofErr w:type="gramStart"/>
      <w:r>
        <w:t xml:space="preserve">Od  </w:t>
      </w:r>
      <w:proofErr w:type="spellStart"/>
      <w:r>
        <w:t>siječnja</w:t>
      </w:r>
      <w:proofErr w:type="spellEnd"/>
      <w:proofErr w:type="gramEnd"/>
      <w:r>
        <w:t xml:space="preserve"> 2025.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ugovoreno</w:t>
      </w:r>
      <w:proofErr w:type="spellEnd"/>
      <w:r>
        <w:t xml:space="preserve"> je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ime</w:t>
      </w:r>
      <w:proofErr w:type="spellEnd"/>
      <w:r>
        <w:t xml:space="preserve"> </w:t>
      </w:r>
      <w:proofErr w:type="spellStart"/>
      <w:r>
        <w:t>naknada</w:t>
      </w:r>
      <w:proofErr w:type="spellEnd"/>
      <w:r>
        <w:t>/</w:t>
      </w:r>
      <w:proofErr w:type="spellStart"/>
      <w:r>
        <w:t>nagrada</w:t>
      </w:r>
      <w:proofErr w:type="spellEnd"/>
      <w:r>
        <w:t>: </w:t>
      </w:r>
    </w:p>
    <w:p w:rsidR="004A3119" w:rsidRDefault="007F300D" w:rsidP="002A79FC">
      <w:pPr>
        <w:spacing w:after="0"/>
      </w:pPr>
      <w:r>
        <w:t>-</w:t>
      </w:r>
      <w:r w:rsidR="002A79FC">
        <w:t xml:space="preserve">  </w:t>
      </w:r>
      <w:proofErr w:type="spellStart"/>
      <w:r>
        <w:t>Jubilarna</w:t>
      </w:r>
      <w:proofErr w:type="spellEnd"/>
      <w:r>
        <w:t xml:space="preserve"> </w:t>
      </w:r>
      <w:proofErr w:type="spellStart"/>
      <w:r>
        <w:t>nagrada</w:t>
      </w:r>
      <w:proofErr w:type="spellEnd"/>
      <w:r>
        <w:t xml:space="preserve"> </w:t>
      </w:r>
      <w:proofErr w:type="spellStart"/>
      <w:r>
        <w:t>povećala</w:t>
      </w:r>
      <w:proofErr w:type="spellEnd"/>
      <w:r>
        <w:t xml:space="preserve"> se 240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neto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300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neto</w:t>
      </w:r>
      <w:proofErr w:type="spellEnd"/>
      <w:r>
        <w:t>.</w:t>
      </w:r>
    </w:p>
    <w:p w:rsidR="004A3119" w:rsidRDefault="007F300D" w:rsidP="002A79FC">
      <w:pPr>
        <w:spacing w:after="0"/>
      </w:pPr>
      <w:r>
        <w:t xml:space="preserve">-  </w:t>
      </w:r>
      <w:proofErr w:type="spellStart"/>
      <w:r>
        <w:t>Otpremnina</w:t>
      </w:r>
      <w:proofErr w:type="spellEnd"/>
      <w:r>
        <w:t xml:space="preserve">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odlaska</w:t>
      </w:r>
      <w:proofErr w:type="spellEnd"/>
      <w:r>
        <w:t xml:space="preserve"> u </w:t>
      </w:r>
      <w:proofErr w:type="spellStart"/>
      <w:r>
        <w:t>mirovinu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s </w:t>
      </w:r>
      <w:proofErr w:type="spellStart"/>
      <w:r>
        <w:t>dvije</w:t>
      </w:r>
      <w:proofErr w:type="spellEnd"/>
      <w:r>
        <w:t xml:space="preserve"> </w:t>
      </w:r>
      <w:proofErr w:type="spellStart"/>
      <w:r>
        <w:t>osnovice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2,5 </w:t>
      </w:r>
      <w:proofErr w:type="spellStart"/>
      <w:r>
        <w:t>osnovice</w:t>
      </w:r>
      <w:proofErr w:type="spellEnd"/>
      <w:r>
        <w:t>.</w:t>
      </w:r>
    </w:p>
    <w:p w:rsidR="004A3119" w:rsidRDefault="007F300D" w:rsidP="002A79FC">
      <w:pPr>
        <w:spacing w:after="0"/>
      </w:pPr>
      <w:r>
        <w:t>-</w:t>
      </w:r>
      <w:r w:rsidR="002A79FC">
        <w:t> </w:t>
      </w:r>
      <w:r>
        <w:t> 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naknade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rad </w:t>
      </w:r>
      <w:proofErr w:type="spellStart"/>
      <w:r>
        <w:t>noću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40% </w:t>
      </w:r>
      <w:proofErr w:type="spellStart"/>
      <w:r>
        <w:t>na</w:t>
      </w:r>
      <w:proofErr w:type="spellEnd"/>
      <w:r>
        <w:t xml:space="preserve"> 50%.</w:t>
      </w:r>
    </w:p>
    <w:p w:rsidR="004A3119" w:rsidRDefault="002A79FC" w:rsidP="002A79FC">
      <w:pPr>
        <w:spacing w:after="0"/>
      </w:pPr>
      <w:r>
        <w:t xml:space="preserve">- </w:t>
      </w:r>
      <w:proofErr w:type="spellStart"/>
      <w:r>
        <w:t>T</w:t>
      </w:r>
      <w:r w:rsidR="007F300D">
        <w:t>opli</w:t>
      </w:r>
      <w:proofErr w:type="spellEnd"/>
      <w:r w:rsidR="007F300D">
        <w:t xml:space="preserve"> </w:t>
      </w:r>
      <w:proofErr w:type="spellStart"/>
      <w:proofErr w:type="gramStart"/>
      <w:r w:rsidR="007F300D">
        <w:t>obrok</w:t>
      </w:r>
      <w:proofErr w:type="spellEnd"/>
      <w:r w:rsidR="007F300D">
        <w:t xml:space="preserve">  u</w:t>
      </w:r>
      <w:proofErr w:type="gramEnd"/>
      <w:r w:rsidR="007F300D">
        <w:t xml:space="preserve"> 2025 </w:t>
      </w:r>
      <w:proofErr w:type="spellStart"/>
      <w:r w:rsidR="007F300D">
        <w:t>zaposlenicima</w:t>
      </w:r>
      <w:proofErr w:type="spellEnd"/>
      <w:r w:rsidR="007F300D">
        <w:t xml:space="preserve"> </w:t>
      </w:r>
      <w:proofErr w:type="spellStart"/>
      <w:r w:rsidR="007F300D">
        <w:t>domova</w:t>
      </w:r>
      <w:proofErr w:type="spellEnd"/>
      <w:r w:rsidR="007F300D">
        <w:t xml:space="preserve"> </w:t>
      </w:r>
      <w:proofErr w:type="spellStart"/>
      <w:r w:rsidR="007F300D">
        <w:t>za</w:t>
      </w:r>
      <w:proofErr w:type="spellEnd"/>
      <w:r w:rsidR="007F300D">
        <w:t xml:space="preserve"> </w:t>
      </w:r>
      <w:proofErr w:type="spellStart"/>
      <w:r w:rsidR="007F300D">
        <w:t>starije</w:t>
      </w:r>
      <w:proofErr w:type="spellEnd"/>
      <w:r w:rsidR="007F300D">
        <w:t xml:space="preserve"> </w:t>
      </w:r>
      <w:proofErr w:type="spellStart"/>
      <w:r w:rsidR="007F300D">
        <w:t>osobe</w:t>
      </w:r>
      <w:proofErr w:type="spellEnd"/>
      <w:r w:rsidR="007F300D">
        <w:t xml:space="preserve"> </w:t>
      </w:r>
      <w:proofErr w:type="spellStart"/>
      <w:r w:rsidR="007F300D">
        <w:t>Grada</w:t>
      </w:r>
      <w:proofErr w:type="spellEnd"/>
      <w:r w:rsidR="007F300D">
        <w:t xml:space="preserve"> </w:t>
      </w:r>
      <w:proofErr w:type="spellStart"/>
      <w:r w:rsidR="007F300D">
        <w:t>Zagreba</w:t>
      </w:r>
      <w:proofErr w:type="spellEnd"/>
      <w:r w:rsidR="007F300D">
        <w:t xml:space="preserve"> u </w:t>
      </w:r>
      <w:proofErr w:type="spellStart"/>
      <w:r w:rsidR="007F300D">
        <w:t>iznosu</w:t>
      </w:r>
      <w:proofErr w:type="spellEnd"/>
      <w:r w:rsidR="007F300D">
        <w:t xml:space="preserve"> od 100,00 </w:t>
      </w:r>
    </w:p>
    <w:p w:rsidR="004A3119" w:rsidRDefault="002A79FC" w:rsidP="002A79FC">
      <w:pPr>
        <w:spacing w:after="0"/>
      </w:pPr>
      <w:r>
        <w:t xml:space="preserve">- </w:t>
      </w:r>
      <w:r w:rsidR="007F300D">
        <w:t xml:space="preserve"> </w:t>
      </w:r>
      <w:proofErr w:type="spellStart"/>
      <w:r w:rsidR="007F300D">
        <w:t>Isplata</w:t>
      </w:r>
      <w:proofErr w:type="spellEnd"/>
      <w:r w:rsidR="007F300D">
        <w:t xml:space="preserve"> </w:t>
      </w:r>
      <w:proofErr w:type="spellStart"/>
      <w:r w:rsidR="007F300D">
        <w:t>Uskrsnice</w:t>
      </w:r>
      <w:proofErr w:type="spellEnd"/>
      <w:r w:rsidR="007F300D">
        <w:t xml:space="preserve"> u </w:t>
      </w:r>
      <w:proofErr w:type="spellStart"/>
      <w:r w:rsidR="007F300D">
        <w:t>iznosu</w:t>
      </w:r>
      <w:proofErr w:type="spellEnd"/>
      <w:r w:rsidR="007F300D">
        <w:t xml:space="preserve"> od 100,00 €</w:t>
      </w:r>
    </w:p>
    <w:p w:rsidR="004A3119" w:rsidRDefault="007F300D" w:rsidP="002A79FC">
      <w:pPr>
        <w:spacing w:after="0"/>
      </w:pPr>
      <w:r>
        <w:t> </w:t>
      </w:r>
    </w:p>
    <w:p w:rsidR="004A3119" w:rsidRDefault="007F300D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A3119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plana</w:t>
            </w:r>
            <w:proofErr w:type="spellEnd"/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4A311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Službena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putovanja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1.838,60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5.096,00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277,2</w:t>
            </w:r>
          </w:p>
        </w:tc>
      </w:tr>
    </w:tbl>
    <w:p w:rsidR="004A3119" w:rsidRDefault="004A3119">
      <w:pPr>
        <w:spacing w:after="0"/>
      </w:pPr>
    </w:p>
    <w:p w:rsidR="004A3119" w:rsidRDefault="007F300D" w:rsidP="002A79FC">
      <w:pPr>
        <w:jc w:val="both"/>
      </w:pPr>
      <w:proofErr w:type="spellStart"/>
      <w:r>
        <w:t>Rashodi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službena</w:t>
      </w:r>
      <w:proofErr w:type="spellEnd"/>
      <w:r>
        <w:t xml:space="preserve"> </w:t>
      </w:r>
      <w:proofErr w:type="spellStart"/>
      <w:r>
        <w:t>putovanja</w:t>
      </w:r>
      <w:proofErr w:type="spellEnd"/>
      <w:r>
        <w:t xml:space="preserve"> </w:t>
      </w:r>
      <w:proofErr w:type="spellStart"/>
      <w:r>
        <w:t>povećani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nužnih</w:t>
      </w:r>
      <w:proofErr w:type="spellEnd"/>
      <w:r>
        <w:t xml:space="preserve"> </w:t>
      </w:r>
      <w:proofErr w:type="spellStart"/>
      <w:r>
        <w:t>edukacija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radionica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zaposlenike</w:t>
      </w:r>
      <w:proofErr w:type="spellEnd"/>
      <w:r>
        <w:t xml:space="preserve">, s </w:t>
      </w:r>
      <w:proofErr w:type="spellStart"/>
      <w:r>
        <w:t>ciljem</w:t>
      </w:r>
      <w:proofErr w:type="spellEnd"/>
      <w:r>
        <w:t xml:space="preserve"> </w:t>
      </w:r>
      <w:proofErr w:type="spellStart"/>
      <w:r>
        <w:t>podizanja</w:t>
      </w:r>
      <w:proofErr w:type="spellEnd"/>
      <w:r>
        <w:t xml:space="preserve"> </w:t>
      </w:r>
      <w:proofErr w:type="spellStart"/>
      <w:r>
        <w:t>kvalitete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u </w:t>
      </w:r>
      <w:proofErr w:type="spellStart"/>
      <w:r>
        <w:t>Domu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starije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. </w:t>
      </w:r>
      <w:proofErr w:type="spellStart"/>
      <w:r>
        <w:t>Poseban</w:t>
      </w:r>
      <w:proofErr w:type="spellEnd"/>
      <w:r>
        <w:t xml:space="preserve"> </w:t>
      </w:r>
      <w:proofErr w:type="spellStart"/>
      <w:r>
        <w:t>naglasak</w:t>
      </w:r>
      <w:proofErr w:type="spellEnd"/>
      <w:r>
        <w:t xml:space="preserve"> </w:t>
      </w:r>
      <w:proofErr w:type="spellStart"/>
      <w:r>
        <w:t>stavljen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uvođenje</w:t>
      </w:r>
      <w:proofErr w:type="spellEnd"/>
      <w:r>
        <w:t xml:space="preserve"> E-</w:t>
      </w:r>
      <w:proofErr w:type="spellStart"/>
      <w:r>
        <w:t>Qalin</w:t>
      </w:r>
      <w:proofErr w:type="spellEnd"/>
      <w:r>
        <w:t xml:space="preserve"> </w:t>
      </w:r>
      <w:proofErr w:type="spellStart"/>
      <w:r>
        <w:t>sustava</w:t>
      </w:r>
      <w:proofErr w:type="spellEnd"/>
      <w:r>
        <w:t xml:space="preserve"> – </w:t>
      </w:r>
      <w:proofErr w:type="spellStart"/>
      <w:r>
        <w:t>europskog</w:t>
      </w:r>
      <w:proofErr w:type="spellEnd"/>
      <w:r>
        <w:t xml:space="preserve"> </w:t>
      </w:r>
      <w:proofErr w:type="spellStart"/>
      <w:r>
        <w:t>modela</w:t>
      </w:r>
      <w:proofErr w:type="spellEnd"/>
      <w:r>
        <w:t xml:space="preserve"> </w:t>
      </w:r>
      <w:proofErr w:type="spellStart"/>
      <w:r>
        <w:t>upravljanja</w:t>
      </w:r>
      <w:proofErr w:type="spellEnd"/>
      <w:r>
        <w:t xml:space="preserve"> </w:t>
      </w:r>
      <w:proofErr w:type="spellStart"/>
      <w:r>
        <w:t>kvalitetom</w:t>
      </w:r>
      <w:proofErr w:type="spellEnd"/>
      <w:r>
        <w:t xml:space="preserve"> u </w:t>
      </w:r>
      <w:proofErr w:type="spellStart"/>
      <w:r>
        <w:t>ustanovama</w:t>
      </w:r>
      <w:proofErr w:type="spellEnd"/>
      <w:r>
        <w:t xml:space="preserve"> </w:t>
      </w:r>
      <w:proofErr w:type="spellStart"/>
      <w:r>
        <w:t>socijalne</w:t>
      </w:r>
      <w:proofErr w:type="spellEnd"/>
      <w:r>
        <w:t xml:space="preserve"> </w:t>
      </w:r>
      <w:proofErr w:type="spellStart"/>
      <w:r>
        <w:t>skrbi</w:t>
      </w:r>
      <w:proofErr w:type="spellEnd"/>
      <w:r>
        <w:t xml:space="preserve">,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podupire</w:t>
      </w:r>
      <w:proofErr w:type="spellEnd"/>
      <w:r>
        <w:t xml:space="preserve"> </w:t>
      </w:r>
      <w:proofErr w:type="spellStart"/>
      <w:r>
        <w:t>Europska</w:t>
      </w:r>
      <w:proofErr w:type="spellEnd"/>
      <w:r>
        <w:t xml:space="preserve"> </w:t>
      </w:r>
      <w:proofErr w:type="spellStart"/>
      <w:r>
        <w:t>unija</w:t>
      </w:r>
      <w:proofErr w:type="spellEnd"/>
      <w:r>
        <w:t xml:space="preserve">. Program </w:t>
      </w:r>
      <w:proofErr w:type="spellStart"/>
      <w:r>
        <w:t>edukacije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procesne</w:t>
      </w:r>
      <w:proofErr w:type="spellEnd"/>
      <w:r>
        <w:t xml:space="preserve"> </w:t>
      </w:r>
      <w:proofErr w:type="spellStart"/>
      <w:r>
        <w:t>vođe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moderatore</w:t>
      </w:r>
      <w:proofErr w:type="spellEnd"/>
      <w:r>
        <w:t xml:space="preserve"> </w:t>
      </w:r>
      <w:proofErr w:type="spellStart"/>
      <w:r>
        <w:t>organiziran</w:t>
      </w:r>
      <w:proofErr w:type="spellEnd"/>
      <w:r>
        <w:t>/</w:t>
      </w:r>
      <w:proofErr w:type="spellStart"/>
      <w:r>
        <w:t>održan</w:t>
      </w:r>
      <w:proofErr w:type="spellEnd"/>
      <w:r>
        <w:t xml:space="preserve"> je u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travnja</w:t>
      </w:r>
      <w:proofErr w:type="spellEnd"/>
      <w:r>
        <w:t xml:space="preserve"> do </w:t>
      </w:r>
      <w:proofErr w:type="spellStart"/>
      <w:r>
        <w:t>lipnja</w:t>
      </w:r>
      <w:proofErr w:type="spellEnd"/>
      <w:r>
        <w:t xml:space="preserve"> 2025., </w:t>
      </w:r>
      <w:proofErr w:type="spellStart"/>
      <w:r>
        <w:t>edukaciju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djelatnici</w:t>
      </w:r>
      <w:proofErr w:type="spellEnd"/>
      <w:r>
        <w:t xml:space="preserve"> </w:t>
      </w:r>
      <w:proofErr w:type="spellStart"/>
      <w:r>
        <w:t>naše</w:t>
      </w:r>
      <w:proofErr w:type="spellEnd"/>
      <w:r>
        <w:t xml:space="preserve"> </w:t>
      </w:r>
      <w:proofErr w:type="spellStart"/>
      <w:r>
        <w:t>ustanove</w:t>
      </w:r>
      <w:proofErr w:type="spellEnd"/>
      <w:r>
        <w:t xml:space="preserve"> </w:t>
      </w:r>
      <w:proofErr w:type="spellStart"/>
      <w:r>
        <w:t>uspješno</w:t>
      </w:r>
      <w:proofErr w:type="spellEnd"/>
      <w:r>
        <w:t xml:space="preserve"> </w:t>
      </w:r>
      <w:proofErr w:type="spellStart"/>
      <w:r>
        <w:t>završili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dodijeljeni</w:t>
      </w:r>
      <w:proofErr w:type="spellEnd"/>
      <w:r>
        <w:t xml:space="preserve"> </w:t>
      </w:r>
      <w:proofErr w:type="spellStart"/>
      <w:r>
        <w:t>certifikati</w:t>
      </w:r>
      <w:proofErr w:type="spellEnd"/>
      <w:r>
        <w:t xml:space="preserve"> E-</w:t>
      </w:r>
      <w:proofErr w:type="spellStart"/>
      <w:r>
        <w:t>Qalin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moderatore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procesne</w:t>
      </w:r>
      <w:proofErr w:type="spellEnd"/>
      <w:r>
        <w:t xml:space="preserve"> </w:t>
      </w:r>
      <w:proofErr w:type="spellStart"/>
      <w:r>
        <w:t>vođe</w:t>
      </w:r>
      <w:proofErr w:type="spellEnd"/>
      <w:r>
        <w:t>.</w:t>
      </w:r>
    </w:p>
    <w:p w:rsidR="004A3119" w:rsidRDefault="007F300D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A3119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plana</w:t>
            </w:r>
            <w:proofErr w:type="spellEnd"/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4A311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Usluge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telefona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interneta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pošte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prijevoza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30.160,21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60.394,56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200,2</w:t>
            </w:r>
          </w:p>
        </w:tc>
      </w:tr>
    </w:tbl>
    <w:p w:rsidR="004A3119" w:rsidRDefault="004A3119">
      <w:pPr>
        <w:spacing w:after="0"/>
      </w:pPr>
    </w:p>
    <w:p w:rsidR="004A3119" w:rsidRDefault="007F300D" w:rsidP="002A79FC">
      <w:pPr>
        <w:jc w:val="both"/>
      </w:pPr>
      <w:proofErr w:type="spellStart"/>
      <w:proofErr w:type="gramStart"/>
      <w:r>
        <w:t>Rashodi</w:t>
      </w:r>
      <w:proofErr w:type="spellEnd"/>
      <w:r>
        <w:t xml:space="preserve">  </w:t>
      </w:r>
      <w:proofErr w:type="spellStart"/>
      <w:r>
        <w:t>su</w:t>
      </w:r>
      <w:proofErr w:type="spellEnd"/>
      <w:proofErr w:type="gramEnd"/>
      <w:r>
        <w:t xml:space="preserve"> </w:t>
      </w:r>
      <w:proofErr w:type="spellStart"/>
      <w:r>
        <w:t>uvećani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ime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prijevoza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uslugu</w:t>
      </w:r>
      <w:proofErr w:type="spellEnd"/>
      <w:r>
        <w:t xml:space="preserve">  </w:t>
      </w:r>
      <w:proofErr w:type="spellStart"/>
      <w:r>
        <w:t>dostave</w:t>
      </w:r>
      <w:proofErr w:type="spellEnd"/>
      <w:r>
        <w:t xml:space="preserve">  </w:t>
      </w:r>
      <w:proofErr w:type="spellStart"/>
      <w:r>
        <w:t>ručkova</w:t>
      </w:r>
      <w:proofErr w:type="spellEnd"/>
      <w:r>
        <w:t xml:space="preserve"> </w:t>
      </w:r>
      <w:proofErr w:type="spellStart"/>
      <w:r>
        <w:t>korisnicima</w:t>
      </w:r>
      <w:proofErr w:type="spellEnd"/>
      <w:r>
        <w:t xml:space="preserve">,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pripreme</w:t>
      </w:r>
      <w:proofErr w:type="spellEnd"/>
      <w:r>
        <w:t xml:space="preserve"> </w:t>
      </w:r>
      <w:proofErr w:type="spellStart"/>
      <w:r>
        <w:t>obroka</w:t>
      </w:r>
      <w:proofErr w:type="spellEnd"/>
      <w:r>
        <w:t xml:space="preserve"> </w:t>
      </w:r>
      <w:proofErr w:type="spellStart"/>
      <w:r>
        <w:t>povećana</w:t>
      </w:r>
      <w:proofErr w:type="spellEnd"/>
      <w:r>
        <w:t xml:space="preserve"> je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veće</w:t>
      </w:r>
      <w:proofErr w:type="spellEnd"/>
      <w:r>
        <w:t xml:space="preserve"> </w:t>
      </w:r>
      <w:proofErr w:type="spellStart"/>
      <w:r>
        <w:t>potrebe</w:t>
      </w:r>
      <w:proofErr w:type="spellEnd"/>
      <w:r>
        <w:t xml:space="preserve"> </w:t>
      </w:r>
      <w:proofErr w:type="spellStart"/>
      <w:r>
        <w:t>naših</w:t>
      </w:r>
      <w:proofErr w:type="spellEnd"/>
      <w:r>
        <w:t xml:space="preserve"> </w:t>
      </w:r>
      <w:proofErr w:type="spellStart"/>
      <w:r>
        <w:t>sugrađana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navedenu</w:t>
      </w:r>
      <w:proofErr w:type="spellEnd"/>
      <w:r>
        <w:t xml:space="preserve"> </w:t>
      </w:r>
      <w:proofErr w:type="spellStart"/>
      <w:r>
        <w:t>uslugu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se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dostave</w:t>
      </w:r>
      <w:proofErr w:type="spellEnd"/>
      <w:r>
        <w:t xml:space="preserve"> </w:t>
      </w:r>
      <w:proofErr w:type="spellStart"/>
      <w:r>
        <w:t>isitih</w:t>
      </w:r>
      <w:proofErr w:type="spellEnd"/>
      <w:r>
        <w:t xml:space="preserve"> </w:t>
      </w:r>
      <w:proofErr w:type="spellStart"/>
      <w:r>
        <w:t>povećao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trošak</w:t>
      </w:r>
      <w:proofErr w:type="spellEnd"/>
      <w:r>
        <w:t xml:space="preserve"> </w:t>
      </w:r>
      <w:proofErr w:type="spellStart"/>
      <w:r>
        <w:t>prijevoza</w:t>
      </w:r>
      <w:proofErr w:type="spellEnd"/>
      <w:r>
        <w:t>.</w:t>
      </w:r>
    </w:p>
    <w:p w:rsidR="004A3119" w:rsidRDefault="007F300D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A3119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plana</w:t>
            </w:r>
            <w:proofErr w:type="spellEnd"/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4A311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Usluge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tekućeg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investicijskog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održavanja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232.069,06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298.655,00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128,7</w:t>
            </w:r>
          </w:p>
        </w:tc>
      </w:tr>
    </w:tbl>
    <w:p w:rsidR="004A3119" w:rsidRDefault="004A3119">
      <w:pPr>
        <w:spacing w:after="0"/>
      </w:pPr>
    </w:p>
    <w:p w:rsidR="004A3119" w:rsidRDefault="007F300D" w:rsidP="002A79FC">
      <w:pPr>
        <w:jc w:val="both"/>
      </w:pPr>
      <w:proofErr w:type="spellStart"/>
      <w:proofErr w:type="gramStart"/>
      <w:r>
        <w:t>Povećani</w:t>
      </w:r>
      <w:proofErr w:type="spellEnd"/>
      <w:r>
        <w:t xml:space="preserve">  </w:t>
      </w:r>
      <w:proofErr w:type="spellStart"/>
      <w:r>
        <w:t>su</w:t>
      </w:r>
      <w:proofErr w:type="spellEnd"/>
      <w:proofErr w:type="gramEnd"/>
      <w:r>
        <w:t xml:space="preserve">  </w:t>
      </w:r>
      <w:proofErr w:type="spellStart"/>
      <w:r>
        <w:t>rashodi</w:t>
      </w:r>
      <w:proofErr w:type="spellEnd"/>
      <w:r>
        <w:t xml:space="preserve">  </w:t>
      </w:r>
      <w:proofErr w:type="spellStart"/>
      <w:r>
        <w:t>na</w:t>
      </w:r>
      <w:proofErr w:type="spellEnd"/>
      <w:r>
        <w:t xml:space="preserve"> </w:t>
      </w:r>
      <w:proofErr w:type="spellStart"/>
      <w:r>
        <w:t>poziciji</w:t>
      </w:r>
      <w:proofErr w:type="spellEnd"/>
      <w:r>
        <w:t xml:space="preserve"> </w:t>
      </w:r>
      <w:proofErr w:type="spellStart"/>
      <w:r>
        <w:t>investicijskog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nužnih</w:t>
      </w:r>
      <w:proofErr w:type="spellEnd"/>
      <w:r>
        <w:t xml:space="preserve"> </w:t>
      </w:r>
      <w:proofErr w:type="spellStart"/>
      <w:r>
        <w:t>radova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održavanju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obnovi</w:t>
      </w:r>
      <w:proofErr w:type="spellEnd"/>
      <w:r>
        <w:t xml:space="preserve"> </w:t>
      </w:r>
      <w:proofErr w:type="spellStart"/>
      <w:r>
        <w:t>Doma</w:t>
      </w:r>
      <w:proofErr w:type="spellEnd"/>
      <w:r>
        <w:t xml:space="preserve">. </w:t>
      </w:r>
      <w:proofErr w:type="spellStart"/>
      <w:r>
        <w:t>Oprema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dijelovi</w:t>
      </w:r>
      <w:proofErr w:type="spellEnd"/>
      <w:r>
        <w:t xml:space="preserve"> </w:t>
      </w:r>
      <w:proofErr w:type="spellStart"/>
      <w:r>
        <w:t>objekta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dotrajali</w:t>
      </w:r>
      <w:proofErr w:type="spellEnd"/>
      <w:r>
        <w:t xml:space="preserve">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uzrokuje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češće</w:t>
      </w:r>
      <w:proofErr w:type="spellEnd"/>
      <w:r>
        <w:t xml:space="preserve"> </w:t>
      </w:r>
      <w:proofErr w:type="spellStart"/>
      <w:r>
        <w:t>popravke</w:t>
      </w:r>
      <w:proofErr w:type="spellEnd"/>
      <w:r>
        <w:t xml:space="preserve">, a </w:t>
      </w:r>
      <w:proofErr w:type="spellStart"/>
      <w:r>
        <w:t>cijene</w:t>
      </w:r>
      <w:proofErr w:type="spellEnd"/>
      <w:r>
        <w:t xml:space="preserve"> </w:t>
      </w:r>
      <w:proofErr w:type="spellStart"/>
      <w:r>
        <w:t>materijala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troškovi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značajno</w:t>
      </w:r>
      <w:proofErr w:type="spellEnd"/>
      <w:r>
        <w:t xml:space="preserve"> </w:t>
      </w:r>
      <w:proofErr w:type="spellStart"/>
      <w:r>
        <w:t>porasli</w:t>
      </w:r>
      <w:proofErr w:type="spellEnd"/>
      <w:r>
        <w:t xml:space="preserve"> </w:t>
      </w:r>
      <w:proofErr w:type="spellStart"/>
      <w:r>
        <w:t>uslijed</w:t>
      </w:r>
      <w:proofErr w:type="spellEnd"/>
      <w:r>
        <w:t xml:space="preserve"> </w:t>
      </w:r>
      <w:proofErr w:type="spellStart"/>
      <w:r>
        <w:t>inflacije</w:t>
      </w:r>
      <w:proofErr w:type="spellEnd"/>
      <w:r>
        <w:t xml:space="preserve">. U </w:t>
      </w:r>
      <w:proofErr w:type="spellStart"/>
      <w:r>
        <w:t>razdoblju</w:t>
      </w:r>
      <w:proofErr w:type="spellEnd"/>
      <w:r>
        <w:t xml:space="preserve"> 2025-12 </w:t>
      </w:r>
      <w:proofErr w:type="spellStart"/>
      <w:r>
        <w:t>provedeni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proofErr w:type="gramStart"/>
      <w:r>
        <w:t>zahvati</w:t>
      </w:r>
      <w:proofErr w:type="spellEnd"/>
      <w:r>
        <w:t xml:space="preserve">  </w:t>
      </w:r>
      <w:proofErr w:type="spellStart"/>
      <w:r>
        <w:t>na</w:t>
      </w:r>
      <w:proofErr w:type="spellEnd"/>
      <w:proofErr w:type="gramEnd"/>
      <w:r>
        <w:t xml:space="preserve"> </w:t>
      </w:r>
      <w:proofErr w:type="spellStart"/>
      <w:r>
        <w:t>investicijskom</w:t>
      </w:r>
      <w:proofErr w:type="spellEnd"/>
      <w:r>
        <w:t xml:space="preserve"> </w:t>
      </w:r>
      <w:proofErr w:type="spellStart"/>
      <w:r>
        <w:t>održavanju</w:t>
      </w:r>
      <w:proofErr w:type="spellEnd"/>
      <w:r>
        <w:t xml:space="preserve">: </w:t>
      </w:r>
      <w:proofErr w:type="spellStart"/>
      <w:r>
        <w:t>rekonstrukcija</w:t>
      </w:r>
      <w:proofErr w:type="spellEnd"/>
      <w:r>
        <w:t xml:space="preserve"> WC-a </w:t>
      </w:r>
      <w:proofErr w:type="spellStart"/>
      <w:r>
        <w:t>na</w:t>
      </w:r>
      <w:proofErr w:type="spellEnd"/>
      <w:r>
        <w:t xml:space="preserve"> 1. </w:t>
      </w:r>
      <w:proofErr w:type="spellStart"/>
      <w:r>
        <w:t>katu</w:t>
      </w:r>
      <w:proofErr w:type="spellEnd"/>
      <w:r>
        <w:t xml:space="preserve">, </w:t>
      </w:r>
      <w:proofErr w:type="spellStart"/>
      <w:r>
        <w:t>uređenje</w:t>
      </w:r>
      <w:proofErr w:type="spellEnd"/>
      <w:r>
        <w:t xml:space="preserve"> </w:t>
      </w:r>
      <w:proofErr w:type="spellStart"/>
      <w:r>
        <w:t>ogledne</w:t>
      </w:r>
      <w:proofErr w:type="spellEnd"/>
      <w:r>
        <w:t xml:space="preserve"> </w:t>
      </w:r>
      <w:proofErr w:type="spellStart"/>
      <w:r>
        <w:t>sobe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korisnike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E-12, </w:t>
      </w:r>
      <w:proofErr w:type="spellStart"/>
      <w:r>
        <w:t>obnova</w:t>
      </w:r>
      <w:proofErr w:type="spellEnd"/>
      <w:r>
        <w:t xml:space="preserve"> </w:t>
      </w:r>
      <w:proofErr w:type="spellStart"/>
      <w:r>
        <w:t>stolarije</w:t>
      </w:r>
      <w:proofErr w:type="spellEnd"/>
      <w:r>
        <w:t xml:space="preserve"> u </w:t>
      </w:r>
      <w:proofErr w:type="spellStart"/>
      <w:r>
        <w:t>stacionarnom</w:t>
      </w:r>
      <w:proofErr w:type="spellEnd"/>
      <w:r>
        <w:t xml:space="preserve"> </w:t>
      </w:r>
      <w:proofErr w:type="spellStart"/>
      <w:r>
        <w:t>dijelu</w:t>
      </w:r>
      <w:proofErr w:type="spellEnd"/>
      <w:r>
        <w:t xml:space="preserve"> </w:t>
      </w:r>
      <w:proofErr w:type="spellStart"/>
      <w:r>
        <w:t>Doma</w:t>
      </w:r>
      <w:proofErr w:type="spellEnd"/>
      <w:r>
        <w:t xml:space="preserve">, </w:t>
      </w:r>
      <w:proofErr w:type="spellStart"/>
      <w:r>
        <w:t>rekonstrukcija</w:t>
      </w:r>
      <w:proofErr w:type="spellEnd"/>
      <w:r>
        <w:t xml:space="preserve"> </w:t>
      </w:r>
      <w:proofErr w:type="spellStart"/>
      <w:r>
        <w:t>sanitarnih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 xml:space="preserve"> u </w:t>
      </w:r>
      <w:proofErr w:type="spellStart"/>
      <w:r>
        <w:t>stacionarnom</w:t>
      </w:r>
      <w:proofErr w:type="spellEnd"/>
      <w:r>
        <w:t xml:space="preserve"> </w:t>
      </w:r>
      <w:proofErr w:type="spellStart"/>
      <w:r>
        <w:t>dijelu</w:t>
      </w:r>
      <w:proofErr w:type="spellEnd"/>
      <w:r>
        <w:t xml:space="preserve">. </w:t>
      </w:r>
      <w:proofErr w:type="spellStart"/>
      <w:r>
        <w:t>Uređenje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zamjena</w:t>
      </w:r>
      <w:proofErr w:type="spellEnd"/>
      <w:r>
        <w:t xml:space="preserve">  </w:t>
      </w:r>
      <w:proofErr w:type="spellStart"/>
      <w:r>
        <w:t>stakala</w:t>
      </w:r>
      <w:proofErr w:type="spellEnd"/>
      <w:proofErr w:type="gramEnd"/>
      <w:r>
        <w:t xml:space="preserve"> u </w:t>
      </w:r>
      <w:proofErr w:type="spellStart"/>
      <w:r>
        <w:t>predvorju</w:t>
      </w:r>
      <w:proofErr w:type="spellEnd"/>
      <w:r>
        <w:t xml:space="preserve"> </w:t>
      </w:r>
      <w:proofErr w:type="spellStart"/>
      <w:r>
        <w:t>Doma</w:t>
      </w:r>
      <w:proofErr w:type="spellEnd"/>
      <w:r>
        <w:t>. </w:t>
      </w:r>
    </w:p>
    <w:p w:rsidR="004A3119" w:rsidRDefault="007F300D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A3119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plana</w:t>
            </w:r>
            <w:proofErr w:type="spellEnd"/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4A311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Računalne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usluge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14.834,65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19.269,05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129,9</w:t>
            </w:r>
          </w:p>
        </w:tc>
      </w:tr>
    </w:tbl>
    <w:p w:rsidR="004A3119" w:rsidRDefault="004A3119">
      <w:pPr>
        <w:spacing w:after="0"/>
      </w:pPr>
    </w:p>
    <w:p w:rsidR="004A3119" w:rsidRDefault="007F300D">
      <w:proofErr w:type="spellStart"/>
      <w:r>
        <w:t>Rashodi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računalne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povećane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rasta</w:t>
      </w:r>
      <w:proofErr w:type="spellEnd"/>
      <w:r>
        <w:t xml:space="preserve"> </w:t>
      </w:r>
      <w:proofErr w:type="spellStart"/>
      <w:r>
        <w:t>cijena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ime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računalnih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koristimo</w:t>
      </w:r>
      <w:proofErr w:type="spellEnd"/>
      <w:r>
        <w:t xml:space="preserve"> u </w:t>
      </w:r>
      <w:proofErr w:type="spellStart"/>
      <w:r>
        <w:t>svom</w:t>
      </w:r>
      <w:proofErr w:type="spellEnd"/>
      <w:r>
        <w:t xml:space="preserve"> </w:t>
      </w:r>
      <w:proofErr w:type="spellStart"/>
      <w:r>
        <w:t>svakodnevnom</w:t>
      </w:r>
      <w:proofErr w:type="spellEnd"/>
      <w:r>
        <w:t xml:space="preserve"> </w:t>
      </w:r>
      <w:proofErr w:type="spellStart"/>
      <w:r>
        <w:t>radu</w:t>
      </w:r>
      <w:proofErr w:type="spellEnd"/>
      <w:r>
        <w:t>.</w:t>
      </w:r>
    </w:p>
    <w:p w:rsidR="004A3119" w:rsidRDefault="004A3119"/>
    <w:p w:rsidR="004A3119" w:rsidRDefault="007F300D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A3119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plana</w:t>
            </w:r>
            <w:proofErr w:type="spellEnd"/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4A311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Naknade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</w:t>
            </w:r>
            <w:proofErr w:type="spellEnd"/>
            <w:r>
              <w:rPr>
                <w:sz w:val="18"/>
              </w:rPr>
              <w:t xml:space="preserve"> rad </w:t>
            </w:r>
            <w:proofErr w:type="spellStart"/>
            <w:r>
              <w:rPr>
                <w:sz w:val="18"/>
              </w:rPr>
              <w:t>predstavničkih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izvršnih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tijela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povjerenstava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slično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2.334,60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3.270,50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140,1</w:t>
            </w:r>
          </w:p>
        </w:tc>
      </w:tr>
    </w:tbl>
    <w:p w:rsidR="004A3119" w:rsidRDefault="004A3119">
      <w:pPr>
        <w:spacing w:after="0"/>
      </w:pPr>
    </w:p>
    <w:p w:rsidR="004A3119" w:rsidRDefault="007F300D">
      <w:r>
        <w:t xml:space="preserve">U 2025. </w:t>
      </w:r>
      <w:proofErr w:type="spellStart"/>
      <w:r>
        <w:t>imali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10 </w:t>
      </w:r>
      <w:proofErr w:type="spellStart"/>
      <w:r>
        <w:t>sjednica</w:t>
      </w:r>
      <w:proofErr w:type="spellEnd"/>
      <w:r>
        <w:t xml:space="preserve"> UP, u </w:t>
      </w:r>
      <w:proofErr w:type="spellStart"/>
      <w:proofErr w:type="gramStart"/>
      <w:r>
        <w:t>listopada</w:t>
      </w:r>
      <w:proofErr w:type="spellEnd"/>
      <w:r>
        <w:t xml:space="preserve">  </w:t>
      </w:r>
      <w:proofErr w:type="spellStart"/>
      <w:r>
        <w:t>povećana</w:t>
      </w:r>
      <w:proofErr w:type="spellEnd"/>
      <w:proofErr w:type="gramEnd"/>
      <w:r>
        <w:t xml:space="preserve"> je </w:t>
      </w:r>
      <w:proofErr w:type="spellStart"/>
      <w:r>
        <w:t>naknada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članove</w:t>
      </w:r>
      <w:proofErr w:type="spellEnd"/>
      <w:r>
        <w:t>  UP.</w:t>
      </w:r>
    </w:p>
    <w:p w:rsidR="004A3119" w:rsidRDefault="007F300D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A3119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plana</w:t>
            </w:r>
            <w:proofErr w:type="spellEnd"/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4A311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Premije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osiguranja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19.301,56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26.691,15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138,3</w:t>
            </w:r>
          </w:p>
        </w:tc>
      </w:tr>
    </w:tbl>
    <w:p w:rsidR="004A3119" w:rsidRDefault="004A3119">
      <w:pPr>
        <w:spacing w:after="0"/>
      </w:pPr>
    </w:p>
    <w:p w:rsidR="004A3119" w:rsidRDefault="007F300D" w:rsidP="002A79FC">
      <w:pPr>
        <w:jc w:val="both"/>
      </w:pPr>
      <w:proofErr w:type="spellStart"/>
      <w:r>
        <w:t>Povećanje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premije</w:t>
      </w:r>
      <w:proofErr w:type="spellEnd"/>
      <w:r>
        <w:t xml:space="preserve"> </w:t>
      </w:r>
      <w:proofErr w:type="spellStart"/>
      <w:r>
        <w:t>osiguranja</w:t>
      </w:r>
      <w:proofErr w:type="spellEnd"/>
      <w:r>
        <w:t xml:space="preserve"> </w:t>
      </w:r>
      <w:proofErr w:type="spellStart"/>
      <w:r>
        <w:t>uslijed</w:t>
      </w:r>
      <w:proofErr w:type="spellEnd"/>
      <w:r>
        <w:t xml:space="preserve"> </w:t>
      </w:r>
      <w:proofErr w:type="spellStart"/>
      <w:r>
        <w:t>uvođenja</w:t>
      </w:r>
      <w:proofErr w:type="spellEnd"/>
      <w:r>
        <w:t xml:space="preserve"> </w:t>
      </w:r>
      <w:proofErr w:type="spellStart"/>
      <w:r>
        <w:t>dodatnih</w:t>
      </w:r>
      <w:proofErr w:type="spellEnd"/>
      <w:r>
        <w:t xml:space="preserve"> </w:t>
      </w:r>
      <w:proofErr w:type="spellStart"/>
      <w:r>
        <w:t>rizika</w:t>
      </w:r>
      <w:proofErr w:type="spellEnd"/>
      <w:r>
        <w:t xml:space="preserve">, </w:t>
      </w:r>
      <w:proofErr w:type="spellStart"/>
      <w:r>
        <w:t>uključujući</w:t>
      </w:r>
      <w:proofErr w:type="spellEnd"/>
      <w:r>
        <w:t xml:space="preserve"> </w:t>
      </w:r>
      <w:proofErr w:type="spellStart"/>
      <w:r>
        <w:t>potres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poplavu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proširenja</w:t>
      </w:r>
      <w:proofErr w:type="spellEnd"/>
      <w:r>
        <w:t xml:space="preserve"> </w:t>
      </w:r>
      <w:proofErr w:type="spellStart"/>
      <w:r>
        <w:t>osigurateljnog</w:t>
      </w:r>
      <w:proofErr w:type="spellEnd"/>
      <w:r>
        <w:t xml:space="preserve"> </w:t>
      </w:r>
      <w:proofErr w:type="spellStart"/>
      <w:r>
        <w:t>pokrića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podružnice</w:t>
      </w:r>
      <w:proofErr w:type="spellEnd"/>
      <w:r>
        <w:t xml:space="preserve"> M. Kolbe, </w:t>
      </w:r>
      <w:proofErr w:type="spellStart"/>
      <w:r>
        <w:t>Topnička</w:t>
      </w:r>
      <w:proofErr w:type="spellEnd"/>
      <w:r>
        <w:t xml:space="preserve"> </w:t>
      </w:r>
      <w:proofErr w:type="gramStart"/>
      <w:r>
        <w:t>29  </w:t>
      </w:r>
      <w:proofErr w:type="spellStart"/>
      <w:r>
        <w:t>i</w:t>
      </w:r>
      <w:proofErr w:type="spellEnd"/>
      <w:proofErr w:type="gramEnd"/>
      <w:r>
        <w:t xml:space="preserve"> CB </w:t>
      </w:r>
      <w:proofErr w:type="spellStart"/>
      <w:r>
        <w:t>Boravak</w:t>
      </w:r>
      <w:proofErr w:type="spellEnd"/>
      <w:r>
        <w:t xml:space="preserve">, </w:t>
      </w:r>
      <w:proofErr w:type="spellStart"/>
      <w:r>
        <w:t>Bolnička</w:t>
      </w:r>
      <w:proofErr w:type="spellEnd"/>
      <w:r>
        <w:t xml:space="preserve"> 1.</w:t>
      </w:r>
    </w:p>
    <w:p w:rsidR="004A3119" w:rsidRDefault="007F300D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A3119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plana</w:t>
            </w:r>
            <w:proofErr w:type="spellEnd"/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4A311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Bankarske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usluge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usluge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platnog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prometa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2.650,86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3.589,11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135,4</w:t>
            </w:r>
          </w:p>
        </w:tc>
      </w:tr>
    </w:tbl>
    <w:p w:rsidR="004A3119" w:rsidRDefault="004A3119">
      <w:pPr>
        <w:spacing w:after="0"/>
      </w:pPr>
    </w:p>
    <w:p w:rsidR="004A3119" w:rsidRDefault="007F300D">
      <w:proofErr w:type="spellStart"/>
      <w:r>
        <w:t>Cijene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platnog</w:t>
      </w:r>
      <w:proofErr w:type="spellEnd"/>
      <w:r>
        <w:t xml:space="preserve"> </w:t>
      </w:r>
      <w:proofErr w:type="spellStart"/>
      <w:r>
        <w:t>prometa</w:t>
      </w:r>
      <w:proofErr w:type="spellEnd"/>
      <w:r>
        <w:t xml:space="preserve"> </w:t>
      </w:r>
      <w:proofErr w:type="spellStart"/>
      <w:r>
        <w:t>znatno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proofErr w:type="gramStart"/>
      <w:r>
        <w:t>uvećane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shodno</w:t>
      </w:r>
      <w:proofErr w:type="spellEnd"/>
      <w:r>
        <w:t xml:space="preserve"> </w:t>
      </w:r>
      <w:proofErr w:type="spellStart"/>
      <w:r>
        <w:t>istom</w:t>
      </w:r>
      <w:proofErr w:type="spellEnd"/>
      <w:r>
        <w:t xml:space="preserve"> </w:t>
      </w:r>
      <w:proofErr w:type="spellStart"/>
      <w:r>
        <w:t>povećani</w:t>
      </w:r>
      <w:proofErr w:type="spellEnd"/>
      <w:r>
        <w:t>.</w:t>
      </w:r>
    </w:p>
    <w:p w:rsidR="004A3119" w:rsidRDefault="004A3119"/>
    <w:p w:rsidR="004A3119" w:rsidRDefault="007F300D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A3119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plana</w:t>
            </w:r>
            <w:proofErr w:type="spellEnd"/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4A311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Višak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primitaka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preneseni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564,08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A3119" w:rsidRDefault="004A3119">
      <w:pPr>
        <w:spacing w:after="0"/>
      </w:pPr>
    </w:p>
    <w:p w:rsidR="004A3119" w:rsidRDefault="007F300D">
      <w:proofErr w:type="spellStart"/>
      <w:r>
        <w:t>Otpis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-</w:t>
      </w:r>
      <w:proofErr w:type="spellStart"/>
      <w:r>
        <w:t>smanjenje</w:t>
      </w:r>
      <w:proofErr w:type="spellEnd"/>
      <w:r>
        <w:t xml:space="preserve"> </w:t>
      </w:r>
      <w:proofErr w:type="spellStart"/>
      <w:r>
        <w:t>obujma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rashode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>.</w:t>
      </w:r>
    </w:p>
    <w:p w:rsidR="004A3119" w:rsidRDefault="004A3119"/>
    <w:p w:rsidR="004A3119" w:rsidRDefault="007F300D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A3119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plana</w:t>
            </w:r>
            <w:proofErr w:type="spellEnd"/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4A311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9221-9222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Višak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primitaka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preneseni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'9221x,9222x VP' - '9221x,9222x MP' + 92213 - 92223)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9221-9222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261.580,05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141.217,55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54,0</w:t>
            </w:r>
          </w:p>
        </w:tc>
      </w:tr>
    </w:tbl>
    <w:p w:rsidR="004A3119" w:rsidRDefault="004A3119">
      <w:pPr>
        <w:spacing w:after="0"/>
      </w:pPr>
    </w:p>
    <w:p w:rsidR="004A3119" w:rsidRDefault="007F300D" w:rsidP="002A79FC">
      <w:pPr>
        <w:jc w:val="both"/>
      </w:pPr>
      <w:r>
        <w:t xml:space="preserve">U 2025. </w:t>
      </w:r>
      <w:proofErr w:type="spellStart"/>
      <w:r>
        <w:t>imamo</w:t>
      </w:r>
      <w:proofErr w:type="spellEnd"/>
      <w:r>
        <w:t xml:space="preserve"> </w:t>
      </w:r>
      <w:proofErr w:type="spellStart"/>
      <w:proofErr w:type="gramStart"/>
      <w:r>
        <w:t>korekciju</w:t>
      </w:r>
      <w:proofErr w:type="spellEnd"/>
      <w:r>
        <w:t xml:space="preserve">  </w:t>
      </w:r>
      <w:proofErr w:type="spellStart"/>
      <w:r>
        <w:t>rezultata</w:t>
      </w:r>
      <w:proofErr w:type="spellEnd"/>
      <w:proofErr w:type="gramEnd"/>
      <w:r>
        <w:t xml:space="preserve"> u </w:t>
      </w:r>
      <w:proofErr w:type="spellStart"/>
      <w:r>
        <w:t>iznosu</w:t>
      </w:r>
      <w:proofErr w:type="spellEnd"/>
      <w:r>
        <w:t xml:space="preserve"> od  564,08 </w:t>
      </w:r>
      <w:proofErr w:type="spellStart"/>
      <w:r>
        <w:t>eur</w:t>
      </w:r>
      <w:proofErr w:type="spellEnd"/>
      <w:r>
        <w:t xml:space="preserve">, </w:t>
      </w:r>
      <w:proofErr w:type="spellStart"/>
      <w:r>
        <w:t>opis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-</w:t>
      </w:r>
      <w:proofErr w:type="spellStart"/>
      <w:r>
        <w:t>smanjenje</w:t>
      </w:r>
      <w:proofErr w:type="spellEnd"/>
      <w:r>
        <w:t xml:space="preserve"> </w:t>
      </w:r>
      <w:proofErr w:type="spellStart"/>
      <w:r>
        <w:t>obujma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rashode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. </w:t>
      </w:r>
      <w:proofErr w:type="spellStart"/>
      <w:r>
        <w:t>Višak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primitka</w:t>
      </w:r>
      <w:proofErr w:type="spellEnd"/>
      <w:r>
        <w:t xml:space="preserve"> </w:t>
      </w:r>
      <w:proofErr w:type="spellStart"/>
      <w:r>
        <w:t>prenesen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prethodnog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141.217,55 Eur.</w:t>
      </w:r>
    </w:p>
    <w:p w:rsidR="004A3119" w:rsidRDefault="004A3119"/>
    <w:p w:rsidR="004A3119" w:rsidRDefault="007F300D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A3119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plana</w:t>
            </w:r>
            <w:proofErr w:type="spellEnd"/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4A311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s </w:t>
            </w:r>
            <w:proofErr w:type="spellStart"/>
            <w:r>
              <w:rPr>
                <w:sz w:val="18"/>
              </w:rPr>
              <w:t>naslova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osiguranja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refundacije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štete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totalne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štete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2.823,21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9.850,88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348,9</w:t>
            </w:r>
          </w:p>
        </w:tc>
      </w:tr>
    </w:tbl>
    <w:p w:rsidR="004A3119" w:rsidRDefault="004A3119">
      <w:pPr>
        <w:spacing w:after="0"/>
      </w:pPr>
    </w:p>
    <w:p w:rsidR="004A3119" w:rsidRDefault="007F300D">
      <w:r>
        <w:t xml:space="preserve">U 2025 </w:t>
      </w:r>
      <w:proofErr w:type="spellStart"/>
      <w:r>
        <w:t>prijavljeno</w:t>
      </w:r>
      <w:proofErr w:type="spellEnd"/>
      <w:r>
        <w:t xml:space="preserve"> </w:t>
      </w:r>
      <w:proofErr w:type="gramStart"/>
      <w:r>
        <w:t>je  5</w:t>
      </w:r>
      <w:proofErr w:type="gramEnd"/>
      <w:r>
        <w:t xml:space="preserve"> </w:t>
      </w:r>
      <w:proofErr w:type="spellStart"/>
      <w:r>
        <w:t>naknada</w:t>
      </w:r>
      <w:proofErr w:type="spellEnd"/>
      <w:r>
        <w:t xml:space="preserve">  </w:t>
      </w:r>
      <w:proofErr w:type="spellStart"/>
      <w:r>
        <w:t>šteta</w:t>
      </w:r>
      <w:proofErr w:type="spellEnd"/>
      <w:r>
        <w:t xml:space="preserve"> -</w:t>
      </w:r>
      <w:proofErr w:type="spellStart"/>
      <w:r>
        <w:t>osiguranje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, 1 </w:t>
      </w:r>
      <w:proofErr w:type="spellStart"/>
      <w:r>
        <w:t>šteta</w:t>
      </w:r>
      <w:proofErr w:type="spellEnd"/>
      <w:r>
        <w:t xml:space="preserve"> AO.</w:t>
      </w:r>
    </w:p>
    <w:p w:rsidR="004A3119" w:rsidRDefault="004A3119"/>
    <w:p w:rsidR="004A3119" w:rsidRDefault="007F300D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A3119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plana</w:t>
            </w:r>
            <w:proofErr w:type="spellEnd"/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4A311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Obvezni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preventivni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zdravstveni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pregledi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zaposlenika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6.537,82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19.092,51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292,0</w:t>
            </w:r>
          </w:p>
        </w:tc>
      </w:tr>
    </w:tbl>
    <w:p w:rsidR="004A3119" w:rsidRDefault="004A3119">
      <w:pPr>
        <w:spacing w:after="0"/>
      </w:pPr>
    </w:p>
    <w:p w:rsidR="004A3119" w:rsidRDefault="007F300D">
      <w:r>
        <w:t xml:space="preserve">U 2025.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redovnih</w:t>
      </w:r>
      <w:proofErr w:type="spellEnd"/>
      <w:r>
        <w:t xml:space="preserve"> </w:t>
      </w:r>
      <w:proofErr w:type="spellStart"/>
      <w:r>
        <w:t>pregleda</w:t>
      </w:r>
      <w:proofErr w:type="spellEnd"/>
      <w:r>
        <w:t xml:space="preserve"> </w:t>
      </w:r>
      <w:proofErr w:type="spellStart"/>
      <w:r>
        <w:t>zaposlenika</w:t>
      </w:r>
      <w:proofErr w:type="spellEnd"/>
      <w:r>
        <w:t xml:space="preserve">, </w:t>
      </w:r>
      <w:proofErr w:type="spellStart"/>
      <w:r>
        <w:t>organizirali</w:t>
      </w:r>
      <w:proofErr w:type="spellEnd"/>
      <w:r>
        <w:t xml:space="preserve"> </w:t>
      </w:r>
      <w:proofErr w:type="spellStart"/>
      <w:proofErr w:type="gramStart"/>
      <w:r>
        <w:t>smo</w:t>
      </w:r>
      <w:proofErr w:type="spellEnd"/>
      <w:r>
        <w:t xml:space="preserve">  </w:t>
      </w:r>
      <w:proofErr w:type="spellStart"/>
      <w:r>
        <w:t>sistematske</w:t>
      </w:r>
      <w:proofErr w:type="spellEnd"/>
      <w:proofErr w:type="gramEnd"/>
      <w:r>
        <w:t xml:space="preserve"> </w:t>
      </w:r>
      <w:proofErr w:type="spellStart"/>
      <w:r>
        <w:t>preglede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zaposlenike</w:t>
      </w:r>
      <w:proofErr w:type="spellEnd"/>
      <w:r>
        <w:t xml:space="preserve"> </w:t>
      </w:r>
      <w:proofErr w:type="spellStart"/>
      <w:r>
        <w:t>Doma</w:t>
      </w:r>
      <w:proofErr w:type="spellEnd"/>
      <w:r>
        <w:t>.</w:t>
      </w:r>
    </w:p>
    <w:p w:rsidR="004A3119" w:rsidRDefault="004A3119"/>
    <w:p w:rsidR="004A3119" w:rsidRDefault="007F300D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obvezama</w:t>
      </w:r>
      <w:proofErr w:type="spellEnd"/>
    </w:p>
    <w:p w:rsidR="004A3119" w:rsidRDefault="007F300D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4A3119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plana</w:t>
            </w:r>
            <w:proofErr w:type="spellEnd"/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4A311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3119" w:rsidRDefault="004A311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Stanje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dospjelih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obveza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kraju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izvještajnog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razdoblja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V008+D23+D24 + 'D </w:t>
            </w: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3119" w:rsidRDefault="007F3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A3119" w:rsidRDefault="004A3119">
      <w:pPr>
        <w:spacing w:after="0"/>
      </w:pPr>
    </w:p>
    <w:p w:rsidR="004A3119" w:rsidRDefault="007F300D">
      <w:r>
        <w:t xml:space="preserve">Na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</w:t>
      </w:r>
      <w:proofErr w:type="spellStart"/>
      <w:r>
        <w:t>nemamo</w:t>
      </w:r>
      <w:proofErr w:type="spellEnd"/>
      <w:r>
        <w:t xml:space="preserve"> </w:t>
      </w:r>
      <w:proofErr w:type="spellStart"/>
      <w:r>
        <w:t>dospjelih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>.</w:t>
      </w:r>
    </w:p>
    <w:p w:rsidR="004A3119" w:rsidRDefault="004A3119"/>
    <w:sectPr w:rsidR="004A311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404FA"/>
    <w:multiLevelType w:val="hybridMultilevel"/>
    <w:tmpl w:val="121E721A"/>
    <w:lvl w:ilvl="0" w:tplc="CC3E1018">
      <w:numFmt w:val="bullet"/>
      <w:lvlText w:val="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232DE1"/>
    <w:multiLevelType w:val="hybridMultilevel"/>
    <w:tmpl w:val="EC808C5A"/>
    <w:lvl w:ilvl="0" w:tplc="CC3E1018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F4C4E"/>
    <w:multiLevelType w:val="hybridMultilevel"/>
    <w:tmpl w:val="23CE1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119"/>
    <w:rsid w:val="002A79FC"/>
    <w:rsid w:val="004A3119"/>
    <w:rsid w:val="007F300D"/>
    <w:rsid w:val="00AB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C6699"/>
  <w15:docId w15:val="{A568CB1E-A24A-42D3-8E93-B4B74F2C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A7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79FC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A7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2026-01-29T06:22:00Z</cp:lastPrinted>
  <dcterms:created xsi:type="dcterms:W3CDTF">2026-01-28T12:31:00Z</dcterms:created>
  <dcterms:modified xsi:type="dcterms:W3CDTF">2026-02-06T13:06:00Z</dcterms:modified>
</cp:coreProperties>
</file>